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1F8C0B56" w:rsidR="00D82C18" w:rsidRPr="00B3608C" w:rsidRDefault="00B3608C" w:rsidP="000F7896">
      <w:pPr>
        <w:rPr>
          <w:rFonts w:ascii="Verdana" w:hAnsi="Verdana"/>
        </w:rPr>
      </w:pPr>
      <w:r>
        <w:rPr>
          <w:sz w:val="28"/>
          <w:rFonts w:ascii="Verdana" w:hAnsi="Verdana"/>
        </w:rPr>
        <w:t xml:space="preserve">Mësimi 1.6 </w:t>
      </w:r>
      <w:r>
        <w:rPr>
          <w:sz w:val="28"/>
          <w:color w:val="000000" w:themeColor="text1"/>
          <w:rFonts w:ascii="Verdana" w:hAnsi="Verdana"/>
        </w:rPr>
        <w:t xml:space="preserve">i Konventës së Budapestit</w:t>
      </w:r>
      <w:r>
        <w:rPr>
          <w:sz w:val="28"/>
          <w:rFonts w:ascii="Verdana" w:hAnsi="Verdana"/>
        </w:rPr>
        <w:t xml:space="preserve">:</w:t>
      </w:r>
      <w:r>
        <w:rPr>
          <w:sz w:val="28"/>
          <w:color w:val="000000" w:themeColor="text1"/>
          <w:rFonts w:ascii="Verdana" w:hAnsi="Verdana"/>
        </w:rPr>
        <w:t xml:space="preserve"> </w:t>
      </w:r>
      <w:r>
        <w:rPr>
          <w:sz w:val="28"/>
          <w:color w:val="000000" w:themeColor="text1"/>
          <w:rFonts w:ascii="Verdana" w:hAnsi="Verdana"/>
        </w:rPr>
        <w:t xml:space="preserve">Përmbledhje – versioni online)</w:t>
      </w:r>
    </w:p>
    <w:p w14:paraId="1D0E3DC5" w14:textId="77777777" w:rsidR="00C115FC" w:rsidRPr="00C115FC" w:rsidRDefault="00C115FC" w:rsidP="00C115FC">
      <w:pPr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D82C18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6D61419A" w:rsidR="00D82C18" w:rsidRPr="00D82C18" w:rsidRDefault="00C115FC" w:rsidP="00C115FC">
            <w:pPr>
              <w:rPr>
                <w:sz w:val="22"/>
                <w:szCs w:val="22"/>
                <w:rFonts w:ascii="Verdana" w:hAnsi="Verdana"/>
              </w:rPr>
            </w:pPr>
            <w:r>
              <w:rPr>
                <w:sz w:val="22"/>
                <w:rFonts w:ascii="Verdana" w:hAnsi="Verdana"/>
              </w:rPr>
              <w:t xml:space="preserve">Mësimi 1.6 </w:t>
            </w:r>
            <w:r>
              <w:rPr>
                <w:sz w:val="22"/>
                <w:color w:val="000000" w:themeColor="text1"/>
                <w:rFonts w:ascii="Verdana" w:hAnsi="Verdana"/>
              </w:rPr>
              <w:t xml:space="preserve">i Konventës së Budapestit</w:t>
            </w:r>
            <w:r>
              <w:rPr>
                <w:sz w:val="22"/>
                <w:rFonts w:ascii="Verdana" w:hAnsi="Verdana"/>
              </w:rPr>
              <w:t xml:space="preserve">:</w:t>
            </w:r>
            <w:r>
              <w:rPr>
                <w:sz w:val="22"/>
                <w:color w:val="000000" w:themeColor="text1"/>
                <w:rFonts w:ascii="Verdana" w:hAnsi="Verdana"/>
              </w:rPr>
              <w:t xml:space="preserve"> </w:t>
            </w:r>
            <w:r>
              <w:rPr>
                <w:sz w:val="22"/>
                <w:color w:val="000000" w:themeColor="text1"/>
                <w:rFonts w:ascii="Verdana" w:hAnsi="Verdana"/>
              </w:rPr>
              <w:t xml:space="preserve">Përmbledhje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179EE6C3" w:rsidR="00D82C18" w:rsidRPr="00D82C18" w:rsidRDefault="00D82C18" w:rsidP="00C115FC">
            <w:pPr>
              <w:rPr>
                <w:sz w:val="22"/>
                <w:szCs w:val="22"/>
                <w:rFonts w:ascii="Verdana" w:hAnsi="Verdana"/>
              </w:rPr>
            </w:pPr>
            <w:r>
              <w:rPr>
                <w:sz w:val="22"/>
                <w:rFonts w:ascii="Verdana" w:hAnsi="Verdana"/>
              </w:rPr>
              <w:t xml:space="preserve">Kohëzgjatja:</w:t>
            </w:r>
            <w:r>
              <w:rPr>
                <w:sz w:val="22"/>
                <w:rFonts w:ascii="Verdana" w:hAnsi="Verdana"/>
              </w:rPr>
              <w:t xml:space="preserve"> </w:t>
            </w:r>
            <w:r>
              <w:rPr>
                <w:sz w:val="22"/>
                <w:color w:val="000000" w:themeColor="text1"/>
                <w:rFonts w:ascii="Verdana" w:hAnsi="Verdana"/>
              </w:rPr>
              <w:t xml:space="preserve">45 minuta</w:t>
            </w:r>
            <w:r>
              <w:rPr>
                <w:sz w:val="22"/>
                <w:color w:val="000000" w:themeColor="text1"/>
                <w:rFonts w:ascii="Verdana" w:hAnsi="Verdana"/>
              </w:rPr>
              <w:t xml:space="preserve"> </w:t>
            </w:r>
          </w:p>
        </w:tc>
      </w:tr>
      <w:tr w:rsidR="00E7344B" w:rsidRPr="00D82C18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0B1C3404" w14:textId="53612A3F" w:rsidR="00E7344B" w:rsidRPr="000F7896" w:rsidRDefault="00E7344B" w:rsidP="000F7896">
            <w:pPr>
              <w:spacing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Burimet e nevojshme:</w:t>
            </w:r>
            <w:r>
              <w:rPr>
                <w:b/>
                <w:sz w:val="22"/>
                <w:rFonts w:ascii="Verdana" w:hAnsi="Verdana"/>
              </w:rPr>
              <w:t xml:space="preserve"> </w:t>
            </w:r>
          </w:p>
          <w:p w14:paraId="3961BF1F" w14:textId="77777777" w:rsidR="00DF2563" w:rsidRDefault="00DF2563" w:rsidP="00DF2563">
            <w:pPr>
              <w:pStyle w:val="bul1"/>
              <w:numPr>
                <w:ilvl w:val="0"/>
                <w:numId w:val="6"/>
              </w:numPr>
              <w:spacing w:after="120" w:line="280" w:lineRule="exact"/>
              <w:contextualSpacing/>
              <w:rPr>
                <w:szCs w:val="18"/>
              </w:rPr>
            </w:pPr>
            <w:r>
              <w:t xml:space="preserve">PC/Laptop ngarkuar me versione softuerësh të pajtueshëm me materialet e përgatitura</w:t>
            </w:r>
          </w:p>
          <w:p w14:paraId="75EDE1CC" w14:textId="77777777" w:rsidR="00DF2563" w:rsidRDefault="00DF2563" w:rsidP="00DF2563">
            <w:pPr>
              <w:pStyle w:val="bul1"/>
              <w:numPr>
                <w:ilvl w:val="0"/>
                <w:numId w:val="6"/>
              </w:numPr>
              <w:spacing w:line="280" w:lineRule="exact"/>
              <w:contextualSpacing/>
              <w:rPr>
                <w:szCs w:val="18"/>
              </w:rPr>
            </w:pPr>
            <w:r>
              <w:t xml:space="preserve">Qasja në softuerin/platformën online të konferencave.</w:t>
            </w:r>
          </w:p>
          <w:p w14:paraId="41FC51A2" w14:textId="77777777" w:rsidR="00DF2563" w:rsidRDefault="00DF2563" w:rsidP="00DF2563">
            <w:pPr>
              <w:pStyle w:val="bul1"/>
              <w:numPr>
                <w:ilvl w:val="0"/>
                <w:numId w:val="6"/>
              </w:numPr>
              <w:spacing w:line="280" w:lineRule="exact"/>
              <w:contextualSpacing/>
              <w:rPr>
                <w:szCs w:val="18"/>
              </w:rPr>
            </w:pPr>
            <w:r>
              <w:t xml:space="preserve">Projektor dhe ekran për shfaqje.</w:t>
            </w:r>
          </w:p>
          <w:p w14:paraId="07D49DE1" w14:textId="77777777" w:rsidR="00DF2563" w:rsidRDefault="00DF2563" w:rsidP="00DF2563">
            <w:pPr>
              <w:pStyle w:val="bul1"/>
              <w:numPr>
                <w:ilvl w:val="0"/>
                <w:numId w:val="6"/>
              </w:numPr>
              <w:spacing w:before="120" w:line="280" w:lineRule="exact"/>
              <w:contextualSpacing/>
              <w:rPr>
                <w:szCs w:val="18"/>
              </w:rPr>
            </w:pPr>
            <w:r>
              <w:t xml:space="preserve">Qasja në internet.</w:t>
            </w:r>
            <w:r>
              <w:t xml:space="preserve"> </w:t>
            </w:r>
          </w:p>
          <w:p w14:paraId="6512635A" w14:textId="77777777" w:rsidR="000F7896" w:rsidRPr="00DF2563" w:rsidRDefault="00DF2563" w:rsidP="00DF2563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Fletore për shënime dhe lapsa kimik</w:t>
            </w:r>
          </w:p>
          <w:p w14:paraId="14CF9EF0" w14:textId="0681BD3B" w:rsidR="00DF2563" w:rsidRPr="00A439ED" w:rsidRDefault="00DF2563" w:rsidP="00DF2563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Kopje e Konventës së Budapestit</w:t>
            </w:r>
            <w:r>
              <w:t xml:space="preserve"> </w:t>
            </w:r>
          </w:p>
        </w:tc>
      </w:tr>
      <w:tr w:rsidR="00E7344B" w:rsidRPr="00D82C18" w14:paraId="635F2EFD" w14:textId="77777777" w:rsidTr="00F1574D">
        <w:trPr>
          <w:trHeight w:val="2879"/>
        </w:trPr>
        <w:tc>
          <w:tcPr>
            <w:tcW w:w="9010" w:type="dxa"/>
            <w:gridSpan w:val="3"/>
            <w:vAlign w:val="center"/>
          </w:tcPr>
          <w:p w14:paraId="34602AF3" w14:textId="77777777" w:rsidR="00A03CF0" w:rsidRDefault="00A03CF0" w:rsidP="00F62A15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Qëllimi i seancës:</w:t>
            </w:r>
            <w:r>
              <w:rPr>
                <w:b/>
                <w:sz w:val="22"/>
                <w:rFonts w:ascii="Verdana" w:hAnsi="Verdana"/>
              </w:rPr>
              <w:t xml:space="preserve">  </w:t>
            </w:r>
          </w:p>
          <w:p w14:paraId="3FE58655" w14:textId="21C214A6" w:rsidR="00A03CF0" w:rsidRPr="000F7896" w:rsidRDefault="00BA7368" w:rsidP="00FA5D5D">
            <w:pPr>
              <w:spacing w:before="120" w:after="120" w:line="280" w:lineRule="exact"/>
              <w:jc w:val="both"/>
              <w:rPr>
                <w:i/>
                <w:color w:val="FF0000"/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Qëllimi i kësaj seance është t'u ofrojë pjesëmarrësve një përmbledhje të Konventës së Budapestit.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Konventa e Budapestit është traktati i vetëm global mbi krimin kibernetik dhe provat elektronike që ka 65 palë nga të gjitha pjesët e botës.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Kjo seancë ofron një përmbledhje të nivelit të lartë të dispozitave në Konventën e Budapestit, përfshirë ligjin material, ligjin procedural dhe dispozitat e bashkëpunimit ndërkombëtar.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Ajo shpjegon se si Konventa e Budapestit ka të gjitha elementet themelore që janë të nevojshëm për çdo traktat të krimit kibernetik.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Ajo përshkruan përfitimet praktike që kanë pasur palët e Konventës së Budapestit, duke përfshirë ligjet e brendshme të përmirësuara, hetimet e brendshme të zgjeruara, një mekanizëm ligjor të bashkëpunimit ndërkombëtar, programin e ndërtimit të kapaciteteve dhe qasjen në një rrjet për praktikuesit ndërkombëtarë.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Seanca gjithashtu mënjanon idetë e gabuara që ekzistojnë zakonisht në lidhje me Konventën e Budapestit.</w:t>
            </w:r>
            <w:r>
              <w:rPr>
                <w:sz w:val="18"/>
                <w:rFonts w:ascii="Verdana" w:hAnsi="Verdana"/>
              </w:rPr>
              <w:t xml:space="preserve"> </w:t>
            </w:r>
          </w:p>
        </w:tc>
      </w:tr>
      <w:tr w:rsidR="00A03CF0" w:rsidRPr="00D82C18" w14:paraId="1B5A80A7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271010" w:rsidRDefault="00271010" w:rsidP="00F62A15">
            <w:pPr>
              <w:spacing w:before="120" w:after="120" w:line="280" w:lineRule="exact"/>
              <w:contextualSpacing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Objektivat:</w:t>
            </w:r>
          </w:p>
          <w:p w14:paraId="7552C5F6" w14:textId="77777777" w:rsidR="000F7896" w:rsidRPr="00AC1380" w:rsidRDefault="000F7896" w:rsidP="000F7896">
            <w:pPr>
              <w:tabs>
                <w:tab w:val="left" w:pos="426"/>
                <w:tab w:val="left" w:pos="851"/>
              </w:tabs>
              <w:rPr>
                <w:sz w:val="18"/>
                <w:szCs w:val="18"/>
                <w:rFonts w:ascii="Verdana" w:eastAsia="Times New Roman" w:hAnsi="Verdana" w:cs="Times New Roman"/>
              </w:rPr>
            </w:pPr>
            <w:r>
              <w:rPr>
                <w:sz w:val="18"/>
                <w:rFonts w:ascii="Verdana" w:hAnsi="Verdana"/>
              </w:rPr>
              <w:t xml:space="preserve">Deri në fund të kësaj seance pjesëmarrësit do të jenë në gjendje të:</w:t>
            </w:r>
          </w:p>
          <w:p w14:paraId="7F1AE0C9" w14:textId="77777777" w:rsidR="00437AF3" w:rsidRPr="00AC1380" w:rsidRDefault="007E3B3E" w:rsidP="007E3B3E">
            <w:pPr>
              <w:pStyle w:val="bul1"/>
              <w:numPr>
                <w:ilvl w:val="0"/>
                <w:numId w:val="11"/>
              </w:numPr>
              <w:rPr>
                <w:szCs w:val="18"/>
              </w:rPr>
            </w:pPr>
            <w:r>
              <w:t xml:space="preserve">Kuptojnë fushëveprimin e Konventës së Budapestit</w:t>
            </w:r>
            <w:r>
              <w:t xml:space="preserve"> </w:t>
            </w:r>
          </w:p>
          <w:p w14:paraId="24045D2F" w14:textId="77777777" w:rsidR="00437AF3" w:rsidRPr="00AC1380" w:rsidRDefault="007E3B3E" w:rsidP="007E3B3E">
            <w:pPr>
              <w:pStyle w:val="bul1"/>
              <w:numPr>
                <w:ilvl w:val="0"/>
                <w:numId w:val="11"/>
              </w:numPr>
              <w:rPr>
                <w:szCs w:val="18"/>
              </w:rPr>
            </w:pPr>
            <w:r>
              <w:t xml:space="preserve">Mësojnë sa anëtarë ka Konventa e Budapestit</w:t>
            </w:r>
            <w:r>
              <w:t xml:space="preserve"> </w:t>
            </w:r>
          </w:p>
          <w:p w14:paraId="43869329" w14:textId="77777777" w:rsidR="00437AF3" w:rsidRPr="00AC1380" w:rsidRDefault="007E3B3E" w:rsidP="007E3B3E">
            <w:pPr>
              <w:pStyle w:val="bul1"/>
              <w:numPr>
                <w:ilvl w:val="0"/>
                <w:numId w:val="11"/>
              </w:numPr>
              <w:rPr>
                <w:szCs w:val="18"/>
              </w:rPr>
            </w:pPr>
            <w:r>
              <w:t xml:space="preserve">Njohin pikat themelore të traktatit për krime kibernetike</w:t>
            </w:r>
            <w:r>
              <w:t xml:space="preserve"> </w:t>
            </w:r>
          </w:p>
          <w:p w14:paraId="61ABEAC5" w14:textId="56778DC5" w:rsidR="001E7389" w:rsidRPr="001E7389" w:rsidRDefault="007E3B3E" w:rsidP="007E3B3E">
            <w:pPr>
              <w:pStyle w:val="bul1"/>
              <w:numPr>
                <w:ilvl w:val="0"/>
                <w:numId w:val="11"/>
              </w:numPr>
            </w:pPr>
            <w:r>
              <w:t xml:space="preserve">Kuptojnë përfitimet e Konventës së Budapestit dhe adresojnë keqkuptimet e zakonshme në lidhje me Konventën e Budapestit</w:t>
            </w:r>
          </w:p>
        </w:tc>
      </w:tr>
      <w:tr w:rsidR="005703B7" w:rsidRPr="00D82C18" w14:paraId="03110757" w14:textId="77777777" w:rsidTr="00E31F52">
        <w:trPr>
          <w:trHeight w:val="5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7777777" w:rsidR="005703B7" w:rsidRPr="002F3B54" w:rsidRDefault="00E95703" w:rsidP="00F62A15">
            <w:pPr>
              <w:spacing w:before="120" w:after="120" w:line="280" w:lineRule="exact"/>
              <w:rPr>
                <w:b/>
                <w:color w:val="000000" w:themeColor="text1"/>
                <w:sz w:val="22"/>
                <w:szCs w:val="22"/>
                <w:rFonts w:ascii="Verdana" w:hAnsi="Verdana"/>
              </w:rPr>
            </w:pPr>
            <w:r>
              <w:rPr>
                <w:b/>
                <w:color w:val="000000" w:themeColor="text1"/>
                <w:sz w:val="22"/>
                <w:rFonts w:ascii="Verdana" w:hAnsi="Verdana"/>
              </w:rPr>
              <w:t xml:space="preserve">Udhëzimi për trajnerë</w:t>
            </w:r>
          </w:p>
          <w:p w14:paraId="07BEE2FF" w14:textId="77777777" w:rsidR="00E31F52" w:rsidRDefault="00AC1380" w:rsidP="00E31F52">
            <w:pPr>
              <w:spacing w:before="120" w:after="120" w:line="280" w:lineRule="exact"/>
              <w:jc w:val="both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Kjo seancë është një shtesë e re në kursin hyrës gjyqësor të Këshillit të Evropës.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 </w:t>
            </w:r>
          </w:p>
          <w:p w14:paraId="5EFF4BEF" w14:textId="44E51B4E" w:rsidR="00FF2976" w:rsidRPr="00E31F52" w:rsidRDefault="00E31F52" w:rsidP="00AC1380">
            <w:pPr>
              <w:spacing w:before="120" w:after="120" w:line="280" w:lineRule="exact"/>
              <w:jc w:val="both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Rekomandohet që përveç këtij plani mësimor dhe slajdeve, trajneri të studiojë edhe raportin T-CY </w:t>
            </w:r>
            <w:hyperlink r:id="rId5" w:history="1">
              <w:r>
                <w:rPr>
                  <w:rStyle w:val="Hyperlink"/>
                  <w:b/>
                  <w:sz w:val="18"/>
                  <w:rFonts w:ascii="Verdana" w:hAnsi="Verdana"/>
                </w:rPr>
                <w:t xml:space="preserve">Konventa e Budapestit për Krime Kibernetike: përfitimet dhe ndikimi në praktikë</w:t>
              </w:r>
            </w:hyperlink>
            <w:r>
              <w:rPr>
                <w:color w:val="000000" w:themeColor="text1"/>
                <w:sz w:val="18"/>
                <w:rFonts w:ascii="Verdana" w:hAnsi="Verdana"/>
              </w:rPr>
              <w:t xml:space="preserve">, pasi që kjo është pjesë e rëndësishme e kësaj seance.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 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Nëse ka interes shtesë se si vendet kanë përfituar nga Konventa e Budapestit, trajneri mund të ndajë çdo pjesë përkatëse të raportit me pjesëmarrësit gjatë sesionit të pyetjeve dhe përgjigjeve.</w:t>
            </w:r>
          </w:p>
        </w:tc>
      </w:tr>
      <w:tr w:rsidR="005A4E47" w:rsidRPr="00D82C18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CB3026" w:rsidRDefault="005A4E47" w:rsidP="00CB3026">
            <w:pPr>
              <w:rPr>
                <w:b/>
                <w:sz w:val="28"/>
                <w:szCs w:val="28"/>
                <w:rFonts w:ascii="Verdana" w:hAnsi="Verdana"/>
              </w:rPr>
            </w:pPr>
            <w:r>
              <w:rPr>
                <w:b/>
                <w:sz w:val="28"/>
                <w:rFonts w:ascii="Verdana" w:hAnsi="Verdana"/>
              </w:rPr>
              <w:t xml:space="preserve">Përmbajtja e Mësimit</w:t>
            </w:r>
          </w:p>
        </w:tc>
      </w:tr>
      <w:tr w:rsidR="00F1574D" w:rsidRPr="00D82C18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7777777" w:rsidR="00D82C18" w:rsidRPr="00E13BE7" w:rsidRDefault="00E13BE7" w:rsidP="00CB3026">
            <w:pPr>
              <w:jc w:val="center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Numrat e slajdeve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E13BE7" w:rsidRDefault="00E13BE7">
            <w:pPr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Përmbajtja</w:t>
            </w:r>
          </w:p>
        </w:tc>
      </w:tr>
      <w:tr w:rsidR="00F1574D" w:rsidRPr="00D82C18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207A1282" w:rsidR="00D82C18" w:rsidRDefault="003630ED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1 deri 4</w:t>
            </w:r>
          </w:p>
          <w:p w14:paraId="5A89CF27" w14:textId="6863FBB0" w:rsidR="00F1574D" w:rsidRPr="00F62A15" w:rsidRDefault="00F1574D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4EFB5D9E" w:rsidR="00556D69" w:rsidRPr="00C70C5C" w:rsidRDefault="00556D69" w:rsidP="00314D32">
            <w:pPr>
              <w:spacing w:before="120" w:after="120" w:line="360" w:lineRule="auto"/>
              <w:jc w:val="both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Slajdet e para janë hyrja në seancë dhe përfshijnë agjendën dhe objektivat e seancës.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 </w:t>
            </w:r>
          </w:p>
        </w:tc>
      </w:tr>
      <w:tr w:rsidR="00F1574D" w:rsidRPr="00D82C18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127AC709" w:rsidR="00D82C18" w:rsidRDefault="00C70C5C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5 deri 12</w:t>
            </w:r>
          </w:p>
          <w:p w14:paraId="6F5AEB2D" w14:textId="242338E2" w:rsidR="00F1574D" w:rsidRPr="003630ED" w:rsidRDefault="00BA7368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03BAFCE9" w14:textId="77777777" w:rsidR="0062475C" w:rsidRPr="0062475C" w:rsidRDefault="00881F77" w:rsidP="00314D32">
            <w:pPr>
              <w:pStyle w:val="Subtitle"/>
              <w:spacing w:line="360" w:lineRule="auto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Këto slajde japin një pasqyrë të fushëveprimit dhe shtrirjes së Konventës së Budapestit.</w:t>
            </w:r>
            <w:r>
              <w:rPr>
                <w:rFonts w:ascii="Verdana" w:hAnsi="Verdana"/>
              </w:rPr>
              <w:t xml:space="preserve"> </w:t>
            </w:r>
          </w:p>
          <w:p w14:paraId="0D56FA49" w14:textId="77777777" w:rsidR="0062475C" w:rsidRPr="0062475C" w:rsidRDefault="0062475C" w:rsidP="00314D32">
            <w:pPr>
              <w:pStyle w:val="Subtitle"/>
              <w:spacing w:line="360" w:lineRule="auto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Disa slajde të para tregojnë "tri këmbët" e Konventës së Budapestit (d.m.th. Sjellja kriminalizuese, mjetet procedurale dhe bashkëpunimi ndërkombëtar), të cilat trajneri duhet t’i përmend dhe do të trajtohen në detaje në seancat pasuese.</w:t>
            </w:r>
            <w:r>
              <w:rPr>
                <w:rFonts w:ascii="Verdana" w:hAnsi="Verdana"/>
              </w:rPr>
              <w:t xml:space="preserve"> </w:t>
            </w:r>
          </w:p>
          <w:p w14:paraId="6C772997" w14:textId="7AC35EE1" w:rsidR="0062475C" w:rsidRPr="0062475C" w:rsidRDefault="0062475C" w:rsidP="0062475C">
            <w:pPr>
              <w:pStyle w:val="Subtitle"/>
              <w:spacing w:line="360" w:lineRule="auto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Grupi tjetër i slajdeve fokuson qasjen e Këshillit të Evropës dhe projekteve të ndryshme që janë iniciuar që kur Zyra e Programit të Krimit Kibernetik (C-PROC) u bë operative në vitin 2014.</w:t>
            </w:r>
          </w:p>
          <w:p w14:paraId="649FEA68" w14:textId="6C88687A" w:rsidR="0062475C" w:rsidRPr="0062475C" w:rsidRDefault="0062475C" w:rsidP="0062475C">
            <w:pPr>
              <w:spacing w:line="360" w:lineRule="auto"/>
              <w:jc w:val="both"/>
            </w:pPr>
            <w:r>
              <w:rPr>
                <w:sz w:val="18"/>
                <w:rFonts w:ascii="Verdana" w:hAnsi="Verdana"/>
              </w:rPr>
              <w:t xml:space="preserve">Slajdi i fundit nënvizon arritjen e Konventës së Budapestit, duke siguruar informacion në lidhje me numrin e përgjithshëm të shteteve që kanë ratifikuar Konventën e Budapestit.</w:t>
            </w:r>
          </w:p>
        </w:tc>
      </w:tr>
      <w:tr w:rsidR="00F1574D" w:rsidRPr="00D82C18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5EBB803A" w14:textId="62C576B0" w:rsidR="00556D69" w:rsidRPr="0084446A" w:rsidRDefault="00AF10FC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13 deri 25</w:t>
            </w:r>
          </w:p>
          <w:p w14:paraId="65C32028" w14:textId="48F00C89" w:rsidR="00F1574D" w:rsidRPr="0084446A" w:rsidRDefault="00A55067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rëndësishme</w:t>
            </w:r>
          </w:p>
        </w:tc>
        <w:tc>
          <w:tcPr>
            <w:tcW w:w="7485" w:type="dxa"/>
            <w:gridSpan w:val="2"/>
            <w:vAlign w:val="center"/>
          </w:tcPr>
          <w:p w14:paraId="45342F76" w14:textId="77777777" w:rsidR="00C70C5C" w:rsidRDefault="0084446A" w:rsidP="00AF10FC">
            <w:pPr>
              <w:spacing w:line="360" w:lineRule="auto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Këto slajde mbulojnë bazat e një traktati të krimit kibernetik.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Qëllimi i këtyre slajdeve është të tregojnë se Konventa e Budapestit është i vetmi traktat global i krimit kibernetik që ka të gjitha bazat e një traktati të krimit kibernetik.</w:t>
            </w:r>
            <w:r>
              <w:rPr>
                <w:sz w:val="18"/>
                <w:rFonts w:ascii="Verdana" w:hAnsi="Verdana"/>
              </w:rPr>
              <w:t xml:space="preserve"> </w:t>
            </w:r>
          </w:p>
          <w:p w14:paraId="2F3022A7" w14:textId="77777777" w:rsidR="00637AFB" w:rsidRDefault="00D669F8" w:rsidP="00D669F8">
            <w:pPr>
              <w:spacing w:line="360" w:lineRule="auto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Grupi i parë i slajdeve ofron një pasqyrë të nivelit të lartë të peizazhit ndërkombëtar, i cili përfshin konventat e UNODC (UNCTOC dhe UNCAC), Organizatën e Bashkëpunimit të Shangait (Marrëveshja për Bashkëpunim në Fushën e Sigurisë së Informacionit), Komonuelthin (Modeli i Krimit Kompjuterik dhe lidhur me Kompjuterët - Ligji dhe Skema e Komonuelthit në lidhje me Ndihmën e Ndërsjellë në Çështjet Penale brenda Komonuelthit - Skema Harare), modelet ITU (ICT4PAC/SADC/HIPCAR Ligjet model), Bashkimi Afrikan (Konventa Malabo e Sigurisë Kibernetike dhe Mbrojtja e të Dhënave Personale) dhe Liga Arabe (Konventa për Luftimin e Veprave Penale lidhur me Teknologjinë e Informacionit).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Më pas slajdet përshkruajnë nëse këto instrumente janë gjithëpërfshirëse për qëllimet e luftimit të krimit kibernetik dhe provave elektronike.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Trajneri duhet të kalojë nëpër diagramet qarkore.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Nëse ndonjë pjesëz ndizet me të verdhë, ajo nënkupton se instrumenti mbulon në mënyrë adekuate atë element.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Nëse ndonjë pjesëz ndizet me pika të kuqe, ajo nënkupton se instrumenti mbulon të paktën pjesërisht atë element.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Nëse ndonjë pjesëz mbetet e bardhë, ajo nënkupton se elementi nuk është mbuluar.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Këtu është e rëndësishme që trajneri të theksojë se këto instrumente mund të sjellin vlerë dhe të plotësojnë Konventën e Budapestit.</w:t>
            </w:r>
          </w:p>
          <w:p w14:paraId="09B58FC0" w14:textId="7DFE7743" w:rsidR="00AF10FC" w:rsidRPr="0084446A" w:rsidRDefault="00AF10FC" w:rsidP="00D669F8">
            <w:pPr>
              <w:spacing w:line="360" w:lineRule="auto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Kjo pjesë përfundon me dy pyetje të anketës.</w:t>
            </w:r>
            <w:r>
              <w:rPr>
                <w:sz w:val="18"/>
                <w:rFonts w:ascii="Verdana" w:hAnsi="Verdana"/>
              </w:rPr>
              <w:t xml:space="preserve"> </w:t>
            </w:r>
          </w:p>
        </w:tc>
      </w:tr>
      <w:tr w:rsidR="00F1574D" w:rsidRPr="00D82C18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5E808BA" w14:textId="59DFBACB" w:rsidR="00556D69" w:rsidRDefault="00AF10FC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26 deri 38</w:t>
            </w:r>
          </w:p>
          <w:p w14:paraId="48504862" w14:textId="307D4B02" w:rsidR="00C70C5C" w:rsidRDefault="00C70C5C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3B6B812F" w14:textId="77777777" w:rsidR="00C70C5C" w:rsidRDefault="00D57822" w:rsidP="00AF10FC">
            <w:pPr>
              <w:spacing w:line="360" w:lineRule="auto"/>
              <w:jc w:val="both"/>
              <w:rPr>
                <w:iCs/>
                <w:color w:val="000000" w:themeColor="text1"/>
                <w:sz w:val="18"/>
                <w:rFonts w:ascii="Verdana" w:eastAsia="Times New Roman" w:hAnsi="Verdana" w:cstheme="majorBidi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Këto slajde paraqesin dobitë kryesore të Konventës së Budapestit.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 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Këto slajde janë bazuar në raportin e T-CY-së mbi përfitimet dhe ndikimet e Konventës së Budapestit.</w:t>
            </w:r>
          </w:p>
          <w:p w14:paraId="7A2E1016" w14:textId="6F39ED0C" w:rsidR="00D57822" w:rsidRDefault="00D57822" w:rsidP="00AF10FC">
            <w:pPr>
              <w:spacing w:line="360" w:lineRule="auto"/>
              <w:jc w:val="both"/>
              <w:rPr>
                <w:iCs/>
                <w:color w:val="000000" w:themeColor="text1"/>
                <w:sz w:val="18"/>
                <w:rFonts w:ascii="Verdana" w:eastAsia="Times New Roman" w:hAnsi="Verdana" w:cstheme="majorBidi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Slajdi i parë përmban një video të shkurtër të Këshillit të Evropës e cila përmbledh përfitimet kryesore dhe ndikimet që janë përshkruar në raport.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 </w:t>
            </w:r>
          </w:p>
          <w:p w14:paraId="5761F3AB" w14:textId="77777777" w:rsidR="009E1A27" w:rsidRDefault="009E1A27" w:rsidP="00AF10FC">
            <w:pPr>
              <w:spacing w:line="360" w:lineRule="auto"/>
              <w:jc w:val="both"/>
              <w:rPr>
                <w:iCs/>
                <w:color w:val="000000" w:themeColor="text1"/>
                <w:sz w:val="18"/>
                <w:rFonts w:ascii="Verdana" w:eastAsia="Times New Roman" w:hAnsi="Verdana" w:cstheme="majorBidi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Grupi tjetër i slajdeve përshkruan se si Konventa e Budapestit ka çuar në përmirësimin e legjislacionit vendas, zgjerimin e hetimeve të brendshme, lehtësimin e bashkëpunimit ndërkombëtar dhe ka çuar në rritjen e kapaciteteve.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 </w:t>
            </w:r>
          </w:p>
          <w:p w14:paraId="6B1CAFC1" w14:textId="77777777" w:rsidR="00AF10FC" w:rsidRDefault="00AF10FC" w:rsidP="00AF10FC">
            <w:pPr>
              <w:spacing w:line="360" w:lineRule="auto"/>
              <w:jc w:val="both"/>
              <w:rPr>
                <w:iCs/>
                <w:color w:val="000000" w:themeColor="text1"/>
                <w:sz w:val="18"/>
                <w:rFonts w:ascii="Verdana" w:eastAsia="Times New Roman" w:hAnsi="Verdana" w:cstheme="majorBidi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Këto slajde shpjegojnë gjithashtu se si shtrihet fushëveprimi i Konventës së Budapestit në mbi 150 vende.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 </w:t>
            </w:r>
          </w:p>
          <w:p w14:paraId="4AF5B3D7" w14:textId="47538886" w:rsidR="00AF10FC" w:rsidRPr="00C70C5C" w:rsidRDefault="00AF10FC" w:rsidP="00AF10FC">
            <w:pPr>
              <w:spacing w:line="360" w:lineRule="auto"/>
              <w:jc w:val="both"/>
              <w:rPr>
                <w:iCs/>
                <w:color w:val="000000" w:themeColor="text1"/>
                <w:sz w:val="18"/>
                <w:rFonts w:ascii="Verdana" w:eastAsia="Times New Roman" w:hAnsi="Verdana" w:cstheme="majorBidi"/>
              </w:rPr>
            </w:pPr>
            <w:r>
              <w:rPr>
                <w:sz w:val="18"/>
                <w:rFonts w:ascii="Verdana" w:hAnsi="Verdana"/>
              </w:rPr>
              <w:t xml:space="preserve">Kjo pjesë përfundon me një pyetje të anketës.</w:t>
            </w:r>
          </w:p>
        </w:tc>
      </w:tr>
      <w:tr w:rsidR="00F1574D" w:rsidRPr="00D82C18" w14:paraId="3C4A313A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1D843CBC" w14:textId="5ABB9F2F" w:rsidR="00556D69" w:rsidRDefault="00AF10FC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39 deri 78</w:t>
            </w:r>
          </w:p>
          <w:p w14:paraId="00098EC4" w14:textId="009BEBF1" w:rsidR="00F1574D" w:rsidRPr="003F6587" w:rsidRDefault="00F1574D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42E0AEE3" w14:textId="77777777" w:rsidR="00556D69" w:rsidRDefault="004B3289" w:rsidP="00314D32">
            <w:pPr>
              <w:spacing w:after="120" w:line="360" w:lineRule="auto"/>
              <w:jc w:val="both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Këto slajde identifikojnë "mitet" ose keqkuptimet kryesore në lidhje me Konventën e Budapestit dhe kërkojnë t'i mënjanojnë ato.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Slajdet adresojnë mitet se Konventa e Budapestit është rajonale dhe Eurocentrike, se Konventa e Budapestit është e vjetruar, se Konventa e Budapestit është hartua nga një numër i kufizuar vendesh, se Konventa e Budapestit favorizon vendet e infrastrukturës, se Konventa e Budapestit u ofron vendeve tjera qasje të pakufizuar, automatike në të dhëna, Konventa e Budapestit mbulon një fushë të kufizuar të veprave penale, dhe se Konventa e Budapestit është vetëm një traktat i krimit kibernetik.</w:t>
            </w:r>
            <w:r>
              <w:rPr>
                <w:sz w:val="18"/>
                <w:rFonts w:ascii="Verdana" w:hAnsi="Verdana"/>
              </w:rPr>
              <w:t xml:space="preserve"> </w:t>
            </w:r>
          </w:p>
          <w:p w14:paraId="09B693A1" w14:textId="065D5C12" w:rsidR="00AF10FC" w:rsidRPr="006527C6" w:rsidRDefault="00AF10FC" w:rsidP="00314D32">
            <w:pPr>
              <w:spacing w:after="120" w:line="360" w:lineRule="auto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Kjo pjesë përfundon me një pyetje të anketës.</w:t>
            </w:r>
          </w:p>
        </w:tc>
      </w:tr>
      <w:tr w:rsidR="00F1574D" w:rsidRPr="00D82C18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A87A945" w14:textId="4E0C5676" w:rsidR="00556D69" w:rsidRDefault="00AF10FC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79 deri 80</w:t>
            </w:r>
          </w:p>
          <w:p w14:paraId="5DE9D224" w14:textId="2175AE8F" w:rsidR="00F1574D" w:rsidRPr="006527C6" w:rsidRDefault="00F1574D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rëndësishme</w:t>
            </w:r>
          </w:p>
        </w:tc>
        <w:tc>
          <w:tcPr>
            <w:tcW w:w="7485" w:type="dxa"/>
            <w:gridSpan w:val="2"/>
            <w:vAlign w:val="center"/>
          </w:tcPr>
          <w:p w14:paraId="6E2FA816" w14:textId="546A1612" w:rsidR="00314D32" w:rsidRPr="00314D32" w:rsidRDefault="004B3289" w:rsidP="00314D32">
            <w:pPr>
              <w:pStyle w:val="Subtitle"/>
              <w:spacing w:line="360" w:lineRule="auto"/>
            </w:pPr>
            <w:r>
              <w:rPr>
                <w:rFonts w:ascii="Verdana" w:hAnsi="Verdana"/>
              </w:rPr>
              <w:t xml:space="preserve">Trajneri duhet të rishikojë objektivat e seancës me pjesëmarrësit dhe t'u japë atyre mundësinë për të bërë ndonjë pyetje në lidhje me materialet e përfshira në këtë modul.</w:t>
            </w:r>
          </w:p>
        </w:tc>
      </w:tr>
      <w:tr w:rsidR="00CB3026" w:rsidRPr="00D82C18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Default="00CB3026" w:rsidP="00CB3026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Ushtrime praktike</w:t>
            </w:r>
          </w:p>
          <w:p w14:paraId="04D65D89" w14:textId="53DBD58E" w:rsidR="00CB3026" w:rsidRPr="00CB3026" w:rsidRDefault="009B4375" w:rsidP="00B3608C">
            <w:pPr>
              <w:spacing w:before="120" w:after="120" w:line="280" w:lineRule="exact"/>
              <w:rPr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Nuk ka ushtrime praktike të lidhura me këtë orë mësimore.</w:t>
            </w:r>
          </w:p>
        </w:tc>
      </w:tr>
      <w:tr w:rsidR="00CB3026" w:rsidRPr="00D82C18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77777777" w:rsidR="00CB3026" w:rsidRDefault="00CB3026" w:rsidP="00CB3026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Vlerësimi/Kontrolli i njohurive</w:t>
            </w:r>
          </w:p>
          <w:p w14:paraId="4496975B" w14:textId="1B3740FD" w:rsidR="00CB3026" w:rsidRPr="00CB3026" w:rsidRDefault="00CB3026" w:rsidP="00B3608C">
            <w:pPr>
              <w:spacing w:before="120" w:after="120" w:line="280" w:lineRule="exact"/>
              <w:rPr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Asnjë kontroll ose vlerësim i njohurive nuk është kërkuar për këtë seancë.</w:t>
            </w:r>
          </w:p>
        </w:tc>
      </w:tr>
    </w:tbl>
    <w:p w14:paraId="15498912" w14:textId="21A0045C" w:rsidR="00D82C18" w:rsidRPr="00D82C18" w:rsidRDefault="00D82C18">
      <w:pPr>
        <w:rPr>
          <w:rFonts w:ascii="Verdana" w:hAnsi="Verdana"/>
        </w:rPr>
      </w:pPr>
    </w:p>
    <w:sectPr w:rsidR="00D82C18" w:rsidRPr="00D82C18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0"/>
  </w:num>
  <w:num w:numId="7">
    <w:abstractNumId w:val="2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9"/>
  </w:num>
  <w:num w:numId="10">
    <w:abstractNumId w:val="1"/>
  </w:num>
  <w:num w:numId="11">
    <w:abstractNumId w:val="8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dirty" w:grammar="dirty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18"/>
    <w:rsid w:val="00051376"/>
    <w:rsid w:val="000C40EE"/>
    <w:rsid w:val="000D0409"/>
    <w:rsid w:val="000F04E4"/>
    <w:rsid w:val="000F7896"/>
    <w:rsid w:val="001D603D"/>
    <w:rsid w:val="001E7389"/>
    <w:rsid w:val="00271010"/>
    <w:rsid w:val="002D52FC"/>
    <w:rsid w:val="002E3ECE"/>
    <w:rsid w:val="002F3B54"/>
    <w:rsid w:val="00314D32"/>
    <w:rsid w:val="0034224C"/>
    <w:rsid w:val="00342639"/>
    <w:rsid w:val="003453F7"/>
    <w:rsid w:val="00354496"/>
    <w:rsid w:val="003630ED"/>
    <w:rsid w:val="003A435F"/>
    <w:rsid w:val="003E2876"/>
    <w:rsid w:val="003F6587"/>
    <w:rsid w:val="00437AF3"/>
    <w:rsid w:val="00450007"/>
    <w:rsid w:val="00457DD3"/>
    <w:rsid w:val="00473D36"/>
    <w:rsid w:val="004B3289"/>
    <w:rsid w:val="004B7351"/>
    <w:rsid w:val="00514FE0"/>
    <w:rsid w:val="00556D69"/>
    <w:rsid w:val="005703B7"/>
    <w:rsid w:val="005A4E47"/>
    <w:rsid w:val="005D4432"/>
    <w:rsid w:val="0062475C"/>
    <w:rsid w:val="00637AFB"/>
    <w:rsid w:val="006527C6"/>
    <w:rsid w:val="00671ADF"/>
    <w:rsid w:val="00672F68"/>
    <w:rsid w:val="00680264"/>
    <w:rsid w:val="006B0B52"/>
    <w:rsid w:val="0075334E"/>
    <w:rsid w:val="007678A6"/>
    <w:rsid w:val="007B1154"/>
    <w:rsid w:val="007E3B3E"/>
    <w:rsid w:val="007F4E03"/>
    <w:rsid w:val="0084446A"/>
    <w:rsid w:val="00844FBF"/>
    <w:rsid w:val="008817F1"/>
    <w:rsid w:val="00881F77"/>
    <w:rsid w:val="008A4C93"/>
    <w:rsid w:val="008C3900"/>
    <w:rsid w:val="008E3FE7"/>
    <w:rsid w:val="00906F18"/>
    <w:rsid w:val="00951791"/>
    <w:rsid w:val="009B4375"/>
    <w:rsid w:val="009D1DB1"/>
    <w:rsid w:val="009E1A27"/>
    <w:rsid w:val="009E3827"/>
    <w:rsid w:val="009F336B"/>
    <w:rsid w:val="00A03CF0"/>
    <w:rsid w:val="00A342ED"/>
    <w:rsid w:val="00A4110D"/>
    <w:rsid w:val="00A439ED"/>
    <w:rsid w:val="00A55067"/>
    <w:rsid w:val="00A734A5"/>
    <w:rsid w:val="00A76996"/>
    <w:rsid w:val="00A94D8B"/>
    <w:rsid w:val="00AA5742"/>
    <w:rsid w:val="00AC1380"/>
    <w:rsid w:val="00AC45A8"/>
    <w:rsid w:val="00AD7035"/>
    <w:rsid w:val="00AF10FC"/>
    <w:rsid w:val="00AF1106"/>
    <w:rsid w:val="00B3608C"/>
    <w:rsid w:val="00BA7368"/>
    <w:rsid w:val="00C115FC"/>
    <w:rsid w:val="00C541A2"/>
    <w:rsid w:val="00C70C5C"/>
    <w:rsid w:val="00CB02C4"/>
    <w:rsid w:val="00CB3026"/>
    <w:rsid w:val="00CC1F79"/>
    <w:rsid w:val="00D01990"/>
    <w:rsid w:val="00D02F47"/>
    <w:rsid w:val="00D57822"/>
    <w:rsid w:val="00D669F8"/>
    <w:rsid w:val="00D82C18"/>
    <w:rsid w:val="00DF2563"/>
    <w:rsid w:val="00E13BE7"/>
    <w:rsid w:val="00E243AE"/>
    <w:rsid w:val="00E31F52"/>
    <w:rsid w:val="00E7344B"/>
    <w:rsid w:val="00E95703"/>
    <w:rsid w:val="00F1574D"/>
    <w:rsid w:val="00F504D6"/>
    <w:rsid w:val="00F62A15"/>
    <w:rsid w:val="00F955B5"/>
    <w:rsid w:val="00FA5D5D"/>
    <w:rsid w:val="00FB24E8"/>
    <w:rsid w:val="00FB6DE5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q-A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sq-AL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sq-AL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.coe.int/t-cy-2020-16-bc-benefits-rep-provisional/16809ef6a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Abbas Lotia</cp:lastModifiedBy>
  <cp:revision>6</cp:revision>
  <dcterms:created xsi:type="dcterms:W3CDTF">2020-10-14T07:03:00Z</dcterms:created>
  <dcterms:modified xsi:type="dcterms:W3CDTF">2020-10-14T08:01:00Z</dcterms:modified>
</cp:coreProperties>
</file>